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4"/>
        <w:tblW w:w="9030" w:type="dxa"/>
        <w:tblLook w:val="06A0" w:firstRow="1" w:lastRow="0" w:firstColumn="1" w:lastColumn="0" w:noHBand="1" w:noVBand="1"/>
        <w:tblLayout w:type="fixed"/>
      </w:tblPr>
      <w:tblGrid>
        <w:gridCol w:w="1981"/>
        <w:gridCol w:w="1029"/>
        <w:gridCol w:w="1505"/>
        <w:gridCol w:w="1576"/>
        <w:gridCol w:w="79"/>
        <w:gridCol w:w="2860"/>
      </w:tblGrid>
      <w:tr>
        <w:trPr/>
        <w:tc>
          <w:tcPr>
            <w:tcW w:w="3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1765300" cy="308610"/>
                  <wp:effectExtent l="0" t="0" r="0" b="0"/>
                  <wp:docPr id="1025" name="shape1025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30861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rFonts w:hint="eastAsia"/>
                <w:sz w:val="40"/>
                <w:szCs w:val="40"/>
              </w:rPr>
              <w:t>보 도 자 료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drawing>
                <wp:inline distT="0" distB="0" distL="0" distR="0">
                  <wp:extent cx="1774190" cy="384175"/>
                  <wp:effectExtent l="0" t="0" r="0" b="0"/>
                  <wp:docPr id="1026" name="shape1026" hidden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190" cy="3841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배포일시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2025년 1</w:t>
            </w:r>
            <w:r>
              <w:rPr>
                <w:lang w:eastAsia="ko-KR"/>
                <w:rFonts w:asciiTheme="minorEastAsia" w:hAnsiTheme="minorEastAsia"/>
                <w:szCs w:val="20"/>
                <w:rtl w:val="off"/>
              </w:rPr>
              <w:t>2</w:t>
            </w:r>
            <w:r>
              <w:rPr>
                <w:rFonts w:asciiTheme="minorEastAsia" w:hAnsiTheme="minorEastAsia"/>
                <w:szCs w:val="20"/>
              </w:rPr>
              <w:t xml:space="preserve">월 </w:t>
            </w:r>
            <w:r>
              <w:rPr>
                <w:lang w:eastAsia="ko-KR"/>
                <w:rFonts w:asciiTheme="minorEastAsia" w:hAnsiTheme="minorEastAsia"/>
                <w:szCs w:val="20"/>
                <w:rtl w:val="off"/>
              </w:rPr>
              <w:t>4</w:t>
            </w:r>
            <w:r>
              <w:rPr>
                <w:rFonts w:asciiTheme="minorEastAsia" w:hAnsiTheme="minorEastAsia"/>
                <w:szCs w:val="20"/>
              </w:rPr>
              <w:t>일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보도시점</w:t>
            </w:r>
          </w:p>
        </w:tc>
        <w:tc>
          <w:tcPr>
            <w:tcW w:w="2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배포 직후 가능</w:t>
            </w:r>
          </w:p>
        </w:tc>
      </w:tr>
      <w:tr>
        <w:trPr/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자료문의</w:t>
            </w:r>
          </w:p>
        </w:tc>
        <w:tc>
          <w:tcPr>
            <w:tcW w:w="70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제품전략기획팀 송영석 부장 (</w:t>
            </w:r>
            <w:r>
              <w:rPr>
                <w:rFonts w:asciiTheme="minorEastAsia" w:hAnsiTheme="minorEastAsia"/>
                <w:szCs w:val="20"/>
              </w:rPr>
              <w:fldChar w:fldCharType="begin"/>
            </w:r>
            <w:r>
              <w:rPr>
                <w:rFonts w:asciiTheme="minorEastAsia" w:hAnsiTheme="minorEastAsia"/>
                <w:szCs w:val="20"/>
              </w:rPr>
              <w:instrText xml:space="preserve"> HYPERLINK "mailto:songys@jpi.co.kr" </w:instrText>
            </w:r>
            <w:r>
              <w:rPr>
                <w:rFonts w:asciiTheme="minorEastAsia" w:hAnsiTheme="minorEastAsia"/>
                <w:szCs w:val="20"/>
              </w:rPr>
              <w:fldChar w:fldCharType="separate"/>
            </w:r>
            <w:r>
              <w:rPr>
                <w:rStyle w:val="a7"/>
                <w:rFonts w:asciiTheme="minorEastAsia" w:hAnsiTheme="minorEastAsia"/>
                <w:szCs w:val="20"/>
              </w:rPr>
              <w:t>songys@jpi.co.kr</w:t>
            </w:r>
            <w:r>
              <w:rPr>
                <w:rStyle w:val="a7"/>
                <w:rFonts w:asciiTheme="minorEastAsia" w:hAnsiTheme="minorEastAsia"/>
                <w:szCs w:val="20"/>
              </w:rPr>
              <w:fldChar w:fldCharType="end"/>
            </w:r>
            <w:r>
              <w:rPr>
                <w:rFonts w:asciiTheme="minorEastAsia" w:hAnsiTheme="minorEastAsia"/>
                <w:szCs w:val="20"/>
              </w:rPr>
              <w:t xml:space="preserve">, </w:t>
            </w:r>
            <w:r>
              <w:rPr>
                <w:rFonts w:asciiTheme="minorEastAsia" w:hAnsiTheme="minorEastAsia"/>
                <w:szCs w:val="20"/>
              </w:rPr>
              <w:t>010-5669-0505</w:t>
            </w:r>
            <w:r>
              <w:rPr>
                <w:rFonts w:asciiTheme="minorEastAsia" w:hAnsiTheme="minorEastAsia"/>
                <w:szCs w:val="20"/>
              </w:rPr>
              <w:t>)</w:t>
            </w:r>
          </w:p>
        </w:tc>
      </w:tr>
    </w:tbl>
    <w:p/>
    <w:p>
      <w:pPr>
        <w:rPr>
          <w:lang w:eastAsia="ko-KR"/>
          <w:rFonts w:hint="eastAsia"/>
          <w:b/>
          <w:bCs/>
          <w:sz w:val="32"/>
          <w:szCs w:val="32"/>
          <w:rtl w:val="off"/>
        </w:rPr>
      </w:pPr>
      <w:r>
        <w:rPr>
          <w:b/>
          <w:bCs/>
          <w:sz w:val="32"/>
          <w:szCs w:val="32"/>
        </w:rPr>
        <w:t>제이피아이헬스케어, RSNA서 이동형 하이브리드 CT 공개</w:t>
      </w:r>
    </w:p>
    <w:p>
      <w:pPr>
        <w:rPr>
          <w:lang w:eastAsia="ko-KR"/>
          <w:rFonts w:hint="eastAsia"/>
          <w:rtl w:val="off"/>
        </w:rPr>
      </w:pPr>
      <w:r>
        <w:rPr>
          <w:b/>
          <w:bCs/>
          <w:sz w:val="32"/>
          <w:szCs w:val="32"/>
        </w:rPr>
        <w:t>3-in-1 스마트 영상 시스템 ‘DeteCT’로 글로벌 관심 집중</w:t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drawing>
          <wp:inline distT="0" distB="0" distL="0" distR="0">
            <wp:extent cx="3050999" cy="3345259"/>
            <wp:effectExtent l="0" t="0" r="0" b="0"/>
            <wp:docPr id="1027" name="shape1027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0999" cy="3345259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lang w:eastAsia="ko-KR"/>
          <w:rFonts w:hint="eastAsia"/>
          <w:rtl w:val="off"/>
        </w:rPr>
        <w:drawing>
          <wp:inline distT="0" distB="0" distL="0" distR="0">
            <wp:extent cx="2392976" cy="3333750"/>
            <wp:effectExtent l="0" t="0" r="0" b="0"/>
            <wp:docPr id="1028" name="shape1028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92976" cy="333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>제이피아이헬스케어가 세계 최대 영상의학 학회 ‘RSNA 2025’에서 이동형 하이브리드 CT ‘DeteCT(디텍트)’를 선보이며 글로벌 시장의 주목을 받았다.</w:t>
      </w: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 xml:space="preserve">이번에 공개한 ‘DeteCT’는 CT·투시·일반 엑스레이 촬영을 단일 장비로 수행하는 3-in-1 스마트 시스템으로, 병원 공간 활용 효율을 높이고 운영비 절감에 기여하는 것이 특징이다. </w:t>
      </w:r>
    </w:p>
    <w:p>
      <w:pPr>
        <w:rPr>
          <w:lang w:eastAsia="ko-KR"/>
          <w:rFonts w:hint="eastAsia"/>
          <w:rtl w:val="off"/>
        </w:rPr>
      </w:pPr>
      <w:r>
        <w:rPr/>
        <w:t>이동형 구조로 장소 제약 없이 사용할 수 있어 응급실·중환자실·현장 의료 등 다양한 환경에서 활용도가 높다는 평가를 받았다.</w:t>
      </w: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>이와 함께 회사는 고기동성 모바일 X-ray ‘TrueMobile(트루모바일)’도 소개했다. 고해상도 영상 처리 기술을 기반으로 의료진의 업무 피로도를 낮추고 진단 정확도를 높인 점이 특징이다.</w:t>
      </w: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>김진국 제이피아이헬스케어 대표는 “전시회 기간 동안 잠재 파트너들과 협업 가능성을 논의하며 회사의 imaging 혁신 비전을 공유했다”며 “ExamVue Panel, TrueMobile 등 최신 장비에 대한 현장 반응도 매우 긍정적이었다”고 밝혔다.</w:t>
      </w: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>이어 그는 “그동안 X-ray 핵심 소재·부품 분야에서 쌓아온 품질 신뢰를 완성형 제품으로 확대해 글로벌 영상의료 시장을 선도하겠다”고 강조했다.</w:t>
      </w:r>
    </w:p>
    <w:p>
      <w:pPr>
        <w:rPr>
          <w:lang w:eastAsia="ko-KR"/>
          <w:rFonts w:hint="eastAsia"/>
          <w:rtl w:val="off"/>
        </w:rPr>
      </w:pPr>
      <w:r>
        <w:rPr/>
        <w:br/>
      </w:r>
      <w:r>
        <w:rPr/>
        <w:t>1980년 설립된 제이피아이헬스케어는 의료용·산업용 디지털 X-ray 솔루션을 제공하는 글로벌 영상기술 기업으로, 고품질 엑스레이 그리드 제조 기술을 기반으로 세계 시장에서 경쟁력을 강화해 왔다.</w:t>
      </w:r>
    </w:p>
    <w:p>
      <w:pPr>
        <w:rPr/>
      </w:pPr>
      <w:r>
        <w:rPr/>
        <w:br/>
      </w:r>
      <w:r>
        <w:rPr/>
        <w:t>한편 RSNA는 매년 미국 시카고에서 열리는 세계 최대 영상의학 학회로, 학계·의료계·바이오테크 업계 전문가 등 5만 명 이상이 참석하는 대표적인 국제 행사다.</w:t>
      </w:r>
    </w:p>
    <w:p>
      <w:pPr>
        <w:rPr/>
      </w:pPr>
      <w:r>
        <w:rPr/>
        <w:br/>
      </w:r>
    </w:p>
    <w:p>
      <w:pPr>
        <w:jc w:val="left"/>
        <w:spacing w:after="120" w:line="240" w:lineRule="auto"/>
        <w:rPr>
          <w:sz w:val="22"/>
          <w:szCs w:val="24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  <w:footerReference w:type="even" r:id="rId5"/>
      <w:footerReference w:type="default" r:id="rI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ptos">
    <w:family w:val="swiss"/>
    <w:charset w:val="00"/>
    <w:notTrueType w:val="false"/>
    <w:pitch w:val="variable"/>
    <w:sig w:usb0="20000287" w:usb1="00000003" w:usb2="00000000" w:usb3="00000000" w:csb0="0000019F" w:csb1="00000000"/>
  </w:font>
  <w:font w:name="Calibri">
    <w:panose1 w:val="020F0502020204030204"/>
    <w:family w:val="swiss"/>
    <w:charset w:val="00"/>
    <w:notTrueType w:val="false"/>
    <w:sig w:usb0="E4002EFF" w:usb1="C200247B" w:usb2="00000009" w:usb3="00000001" w:csb0="200001F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62336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890" cy="35750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5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49" style="position:absolute;margin-left:0pt;margin-top:0pt;width:110.7pt;height:28.15pt;mso-position-horizontal:left;mso-position-horizontal-relative:page;mso-position-vertical:bottom;mso-position-vertical-relative:page;v-text-anchor:bottom;mso-wrap-style:none;z-index:251662336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59264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50" style="position:absolute;margin-left:0pt;margin-top:0pt;width:103.1pt;height:28.15pt;mso-position-horizontal:left;mso-position-horizontal-relative:page;mso-position-vertical:bottom;mso-position-vertical-relative:page;v-text-anchor:bottom;mso-wrap-style:none;z-index:251659264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6"/>
    </w:pP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63360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890" cy="357505"/>
              <wp:effectExtent l="0" t="0" r="0" b="0"/>
              <wp:wrapNone/>
              <wp:docPr id="2051" name="shape2051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589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</w:pPr>
                          <w:r>
                            <w:rPr>
                              <w:rFonts w:ascii="Aptos" w:eastAsia="Aptos" w:hAnsi="Aptos" w:cs="Aptos"/>
                              <w:noProof/>
                              <w:color w:val="000000"/>
                              <w:szCs w:val="20"/>
                            </w:rPr>
                            <w:t>Classified as Internal</w:t>
                          </w: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51" style="position:absolute;margin-left:0pt;margin-top:0pt;width:110.7pt;height:28.15pt;mso-position-horizontal:left;mso-position-horizontal-relative:page;mso-position-vertical:bottom;mso-position-vertical-relative:page;v-text-anchor:bottom;mso-wrap-style:none;z-index:251663360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</w:pPr>
                    <w:r>
                      <w:rPr>
                        <w:rFonts w:ascii="Aptos" w:eastAsia="Aptos" w:hAnsi="Aptos" w:cs="Aptos"/>
                        <w:noProof/>
                        <w:color w:val="000000"/>
                        <w:szCs w:val="20"/>
                      </w:rPr>
                      <w:t>Classified as Internal</w:t>
                    </w:r>
                  </w:p>
                </w:txbxContent>
              </v:textbox>
              <v:stroke joinstyle="round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behindDoc="0" locked="0" layoutInCell="1" simplePos="0" relativeHeight="251660288" allowOverlap="1" hidden="0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1309370" cy="357505"/>
              <wp:effectExtent l="0" t="0" r="0" b="0"/>
              <wp:wrapNone/>
              <wp:docPr id="2052" name="shape2052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0937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none" lIns="254000" tIns="0" rIns="0" bIns="190500" anchor="b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2052" style="position:absolute;margin-left:0pt;margin-top:0pt;width:103.1pt;height:28.15pt;mso-position-horizontal:left;mso-position-horizontal-relative:page;mso-position-vertical:bottom;mso-position-vertical-relative:page;v-text-anchor:bottom;mso-wrap-style:none;z-index:251660288" o:allowincell="t" filled="f" fillcolor="#ffffff" stroked="f">
              <v:textbox style="mso-fit-shape-to-text:t" inset="7.1mm,0.0mm,0.0mm,5.3mm">
                <w:txbxContent>
                  <w:p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</w:p>
                </w:txbxContent>
              </v:textbox>
              <v:stroke joinstyle="round"/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336"/>
    <w:lsdException w:name="Light List Accent 1" w:uiPriority="337"/>
    <w:lsdException w:name="Light Grid Accent 1" w:uiPriority="33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336"/>
    <w:lsdException w:name="Light List Accent 2" w:uiPriority="337"/>
    <w:lsdException w:name="Light Grid Accent 2" w:uiPriority="33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336"/>
    <w:lsdException w:name="Light List Accent 3" w:uiPriority="337"/>
    <w:lsdException w:name="Light Grid Accent 3" w:uiPriority="33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336"/>
    <w:lsdException w:name="Light List Accent 4" w:uiPriority="337"/>
    <w:lsdException w:name="Light Grid Accent 4" w:uiPriority="33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336"/>
    <w:lsdException w:name="Light List Accent 5" w:uiPriority="337"/>
    <w:lsdException w:name="Light Grid Accent 5" w:uiPriority="33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336"/>
    <w:lsdException w:name="Light List Accent 6" w:uiPriority="337"/>
    <w:lsdException w:name="Light Grid Accent 6" w:uiPriority="33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ind w:leftChars="300" w:left="300" w:hangingChars="200" w:hanging="2000"/>
      <w:keepNext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basedOn w:val="a"/>
    <w:next w:val="a"/>
    <w:link w:val="Char"/>
    <w:qFormat/>
    <w:pPr>
      <w:outlineLvl w:val="0"/>
      <w:jc w:val="center"/>
      <w:spacing w:after="120" w:before="240" w:line="256" w:lineRule="auto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uiPriority w:val="59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6"/>
  </w:style>
  <w:style w:type="character" w:customStyle="1" w:styleId="ui-provider">
    <w:name w:val="ui-provider"/>
    <w:basedOn w:val="a0"/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EastAsia" w:hAnsiTheme="majorHAnsi" w:cstheme="majorBidi"/>
    </w:rPr>
  </w:style>
  <w:style w:type="character" w:styleId="a7">
    <w:name w:val="Hyperlink"/>
    <w:uiPriority w:val="99"/>
    <w:basedOn w:val="a0"/>
    <w:unhideWhenUsed/>
    <w:rPr>
      <w:color w:val="0563C1"/>
      <w:u w:val="single" w:color="auto"/>
    </w:rPr>
  </w:style>
  <w:style w:type="character" w:styleId="a8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1" Type="http://schemas.openxmlformats.org/officeDocument/2006/relationships/image" Target="media/image1.jpe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png" /><Relationship Id="rId7" Type="http://schemas.openxmlformats.org/officeDocument/2006/relationships/styles" Target="styles.xml" /><Relationship Id="rId8" Type="http://schemas.openxmlformats.org/officeDocument/2006/relationships/settings" Target="settings.xml" /><Relationship Id="rId9" Type="http://schemas.openxmlformats.org/officeDocument/2006/relationships/fontTable" Target="fontTable.xml" /><Relationship Id="rId10" Type="http://schemas.openxmlformats.org/officeDocument/2006/relationships/webSettings" Target="webSettings.xml" /><Relationship Id="rId1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임다예</dc:creator>
  <cp:keywords/>
  <dc:description/>
  <cp:lastModifiedBy>kjs</cp:lastModifiedBy>
  <cp:revision>1</cp:revision>
  <dcterms:created xsi:type="dcterms:W3CDTF">2025-11-14T04:52:00Z</dcterms:created>
  <dcterms:modified xsi:type="dcterms:W3CDTF">2025-12-04T05:31:14Z</dcterms:modified>
  <cp:lastPrinted>2022-11-10T01:46:00Z</cp:lastPrint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72339867e11a768ac4632de9d3c77c939ec4b18bbf1abb5e5b20c277e5be2f39</vt:lpwstr>
  </property>
  <property fmtid="{D5CDD505-2E9C-101B-9397-08002B2CF9AE}" pid="3" name="ContentTypeId">
    <vt:lpwstr>0x010100EF7ED3B0B4157E44BDDEB8266E1AB6D1</vt:lpwstr>
  </property>
  <property fmtid="{D5CDD505-2E9C-101B-9397-08002B2CF9AE}" pid="4" name="ClassificationContentMarkingFooterShapeIds">
    <vt:lpwstr>6b470039,45337a29,5e8f78eb,4d37f853,2f5f5ace,4ba951e3</vt:lpwstr>
  </property>
  <property fmtid="{D5CDD505-2E9C-101B-9397-08002B2CF9AE}" pid="5" name="ClassificationContentMarkingFooterFontProps">
    <vt:lpwstr>#000000,10,Aptos</vt:lpwstr>
  </property>
  <property fmtid="{D5CDD505-2E9C-101B-9397-08002B2CF9AE}" pid="6" name="ClassificationContentMarkingFooterText">
    <vt:lpwstr>Classified as Internal</vt:lpwstr>
  </property>
</Properties>
</file>